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070" w:rsidRDefault="00A94070" w:rsidP="00A94070">
      <w:pPr>
        <w:spacing w:after="120"/>
        <w:rPr>
          <w:rFonts w:ascii="Times New Roman" w:hAnsi="Times New Roman"/>
          <w:sz w:val="22"/>
        </w:rPr>
      </w:pPr>
      <w:r w:rsidRPr="00A94070">
        <w:rPr>
          <w:rFonts w:ascii="Times New Roman" w:hAnsi="Times New Roman"/>
          <w:sz w:val="22"/>
        </w:rPr>
        <w:t xml:space="preserve">M. </w:t>
      </w:r>
      <w:proofErr w:type="spellStart"/>
      <w:r w:rsidRPr="00A94070">
        <w:rPr>
          <w:rFonts w:ascii="Times New Roman" w:hAnsi="Times New Roman"/>
          <w:sz w:val="22"/>
        </w:rPr>
        <w:t>Kerby</w:t>
      </w:r>
      <w:proofErr w:type="spellEnd"/>
      <w:r w:rsidRPr="00A94070">
        <w:rPr>
          <w:rFonts w:ascii="Times New Roman" w:hAnsi="Times New Roman"/>
          <w:sz w:val="22"/>
        </w:rPr>
        <w:t xml:space="preserve">, “Combining the Hazards of Ministerial Appointment AND Ministerial Exit in the Canadian Federal Cabinet,” </w:t>
      </w:r>
      <w:r w:rsidRPr="00A94070">
        <w:rPr>
          <w:rFonts w:ascii="Times New Roman" w:hAnsi="Times New Roman"/>
          <w:i/>
          <w:sz w:val="22"/>
        </w:rPr>
        <w:t xml:space="preserve">CJPS </w:t>
      </w:r>
      <w:r>
        <w:rPr>
          <w:rFonts w:ascii="Times New Roman" w:hAnsi="Times New Roman"/>
          <w:sz w:val="22"/>
        </w:rPr>
        <w:t>44:3 (September 2011)</w:t>
      </w:r>
    </w:p>
    <w:p w:rsidR="00A94070" w:rsidRDefault="00A94070" w:rsidP="00A94070">
      <w:pPr>
        <w:spacing w:after="120"/>
        <w:rPr>
          <w:rFonts w:ascii="Times New Roman" w:hAnsi="Times New Roman"/>
          <w:sz w:val="22"/>
        </w:rPr>
      </w:pPr>
    </w:p>
    <w:p w:rsidR="00A94070" w:rsidRDefault="00A94070" w:rsidP="00A94070">
      <w:pPr>
        <w:spacing w:after="120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Overview:</w:t>
      </w:r>
    </w:p>
    <w:p w:rsidR="00A94070" w:rsidRDefault="00A94070" w:rsidP="00A94070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proofErr w:type="spellStart"/>
      <w:r w:rsidRPr="00A94070">
        <w:rPr>
          <w:rFonts w:ascii="Times New Roman" w:hAnsi="Times New Roman"/>
          <w:sz w:val="22"/>
        </w:rPr>
        <w:t>Cdn</w:t>
      </w:r>
      <w:proofErr w:type="spellEnd"/>
      <w:r w:rsidRPr="00A94070">
        <w:rPr>
          <w:rFonts w:ascii="Times New Roman" w:hAnsi="Times New Roman"/>
          <w:sz w:val="22"/>
        </w:rPr>
        <w:t xml:space="preserve"> federal cabinet stands out among Westminster parliamentary systems because of large number of first-time ministers who are appointed without any previous parliamentary or political experience. No attempt yet been made to account for how </w:t>
      </w:r>
      <w:proofErr w:type="spellStart"/>
      <w:r w:rsidRPr="00A94070">
        <w:rPr>
          <w:rFonts w:ascii="Times New Roman" w:hAnsi="Times New Roman"/>
          <w:sz w:val="22"/>
        </w:rPr>
        <w:t>Cdn</w:t>
      </w:r>
      <w:proofErr w:type="spellEnd"/>
      <w:r w:rsidRPr="00A94070">
        <w:rPr>
          <w:rFonts w:ascii="Times New Roman" w:hAnsi="Times New Roman"/>
          <w:sz w:val="22"/>
        </w:rPr>
        <w:t xml:space="preserve"> </w:t>
      </w:r>
      <w:proofErr w:type="spellStart"/>
      <w:r w:rsidRPr="00A94070">
        <w:rPr>
          <w:rFonts w:ascii="Times New Roman" w:hAnsi="Times New Roman"/>
          <w:sz w:val="22"/>
        </w:rPr>
        <w:t>PMs</w:t>
      </w:r>
      <w:proofErr w:type="spellEnd"/>
      <w:r w:rsidRPr="00A94070">
        <w:rPr>
          <w:rFonts w:ascii="Times New Roman" w:hAnsi="Times New Roman"/>
          <w:sz w:val="22"/>
        </w:rPr>
        <w:t xml:space="preserve"> overcome the information deficit associated with appointing ministers with no experience. This paper examines survival rates of ministers in over 50 years to consider factors that contribute.</w:t>
      </w:r>
    </w:p>
    <w:p w:rsidR="00A94070" w:rsidRDefault="00A94070" w:rsidP="00A94070">
      <w:pPr>
        <w:spacing w:after="120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Review:</w:t>
      </w:r>
    </w:p>
    <w:p w:rsidR="00A94070" w:rsidRPr="00A94070" w:rsidRDefault="00A94070" w:rsidP="00A94070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 w:rsidRPr="00A94070">
        <w:rPr>
          <w:rFonts w:ascii="Times New Roman" w:hAnsi="Times New Roman"/>
          <w:sz w:val="22"/>
        </w:rPr>
        <w:t>Concept of Ministerial Duration: whatever their achievements and failings, the length of tenure of a minister gives some indication of ministerial success and is thus an important variable to analyze (</w:t>
      </w:r>
      <w:proofErr w:type="spellStart"/>
      <w:r w:rsidRPr="00A94070">
        <w:rPr>
          <w:rFonts w:ascii="Times New Roman" w:hAnsi="Times New Roman"/>
          <w:sz w:val="22"/>
        </w:rPr>
        <w:t>Berlinski</w:t>
      </w:r>
      <w:proofErr w:type="spellEnd"/>
      <w:r w:rsidRPr="00A94070">
        <w:rPr>
          <w:rFonts w:ascii="Times New Roman" w:hAnsi="Times New Roman"/>
          <w:sz w:val="22"/>
        </w:rPr>
        <w:t xml:space="preserve"> et al, 2007)</w:t>
      </w:r>
    </w:p>
    <w:p w:rsidR="00C81660" w:rsidRDefault="00A94070" w:rsidP="00A94070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proofErr w:type="spellStart"/>
      <w:r>
        <w:rPr>
          <w:rFonts w:ascii="Times New Roman" w:hAnsi="Times New Roman"/>
          <w:sz w:val="22"/>
        </w:rPr>
        <w:t>Berlinaki</w:t>
      </w:r>
      <w:proofErr w:type="spellEnd"/>
      <w:r>
        <w:rPr>
          <w:rFonts w:ascii="Times New Roman" w:hAnsi="Times New Roman"/>
          <w:sz w:val="22"/>
        </w:rPr>
        <w:t xml:space="preserve"> et al also present the ministerial appointment process as a principal agent problem in which prime ministers must decide how much authority they are willing to delegate to their ministers</w:t>
      </w:r>
    </w:p>
    <w:p w:rsidR="00A94070" w:rsidRPr="00C81660" w:rsidRDefault="00C81660" w:rsidP="00A94070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PM is also constrained by the constitutional tradition and political necessity that demands a minimal (yet unspecified) level of geographic, linguistic, gender, and minority representation in cabinet in conjunction with high levels of legislator turnover that produces a selection pool of potential ministers who are inexperienced at both parliamentary and cabinet levels/</w:t>
      </w:r>
    </w:p>
    <w:p w:rsidR="00A94070" w:rsidRPr="00A94070" w:rsidRDefault="00A94070" w:rsidP="00A94070">
      <w:pPr>
        <w:spacing w:after="120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Conclusion:</w:t>
      </w:r>
    </w:p>
    <w:p w:rsidR="00A94070" w:rsidRDefault="00A94070" w:rsidP="00A94070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Article examines effects of expected ministerial duration on the chances that a potential minister will be appointed to cabinet</w:t>
      </w:r>
    </w:p>
    <w:p w:rsidR="00C81660" w:rsidRDefault="00A94070" w:rsidP="00A94070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The results demonstrate that predicted ministerial responsibility is positively related to ministerial appointment to the first cabinets of Diefenbaker’s, Clark’s, Mulroney’s and Harper’s governments</w:t>
      </w:r>
    </w:p>
    <w:p w:rsidR="00C81660" w:rsidRDefault="00C81660" w:rsidP="00C81660">
      <w:pPr>
        <w:pStyle w:val="ListParagraph"/>
        <w:spacing w:after="120"/>
        <w:rPr>
          <w:rFonts w:ascii="Times New Roman" w:hAnsi="Times New Roman"/>
          <w:sz w:val="22"/>
        </w:rPr>
      </w:pPr>
    </w:p>
    <w:p w:rsidR="00A94070" w:rsidRPr="00A94070" w:rsidRDefault="00C81660" w:rsidP="00A94070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Really awful article – major problems with the analysis</w:t>
      </w:r>
    </w:p>
    <w:p w:rsidR="00A94070" w:rsidRPr="00A94070" w:rsidRDefault="00A94070" w:rsidP="00A94070">
      <w:pPr>
        <w:spacing w:after="120"/>
        <w:rPr>
          <w:rFonts w:ascii="Times New Roman" w:hAnsi="Times New Roman"/>
          <w:sz w:val="22"/>
        </w:rPr>
      </w:pPr>
    </w:p>
    <w:p w:rsidR="00A94070" w:rsidRDefault="00A94070"/>
    <w:sectPr w:rsidR="00A94070" w:rsidSect="00A94070">
      <w:type w:val="continuous"/>
      <w:pgSz w:w="12240" w:h="15840"/>
      <w:pgMar w:top="1304" w:right="1418" w:bottom="130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635C39"/>
    <w:multiLevelType w:val="hybridMultilevel"/>
    <w:tmpl w:val="9AD0C52A"/>
    <w:lvl w:ilvl="0" w:tplc="FB70888C">
      <w:start w:val="1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94070"/>
    <w:rsid w:val="00A94070"/>
    <w:rsid w:val="00C81660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407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A9407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Adrienne Davidson</dc:creator>
  <cp:keywords/>
  <cp:lastModifiedBy>Adrienne Davidson</cp:lastModifiedBy>
  <cp:revision>1</cp:revision>
  <dcterms:created xsi:type="dcterms:W3CDTF">2012-04-28T22:51:00Z</dcterms:created>
  <dcterms:modified xsi:type="dcterms:W3CDTF">2012-04-28T23:16:00Z</dcterms:modified>
</cp:coreProperties>
</file>